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BC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  <w:r>
        <w:rPr>
          <w:rFonts w:ascii="Arial" w:hAnsi="Arial" w:cs="Arial"/>
          <w:color w:val="111111"/>
          <w:sz w:val="74"/>
          <w:szCs w:val="74"/>
          <w:shd w:val="clear" w:color="auto" w:fill="FFFFFF"/>
        </w:rPr>
        <w:t>Игры с </w:t>
      </w:r>
      <w:r>
        <w:rPr>
          <w:rStyle w:val="a3"/>
          <w:rFonts w:ascii="Arial" w:hAnsi="Arial" w:cs="Arial"/>
          <w:color w:val="111111"/>
          <w:sz w:val="74"/>
          <w:szCs w:val="74"/>
          <w:bdr w:val="none" w:sz="0" w:space="0" w:color="auto" w:frame="1"/>
          <w:shd w:val="clear" w:color="auto" w:fill="FFFFFF"/>
        </w:rPr>
        <w:t>пальчиками</w:t>
      </w:r>
      <w:r>
        <w:rPr>
          <w:rFonts w:ascii="Arial" w:hAnsi="Arial" w:cs="Arial"/>
          <w:color w:val="111111"/>
          <w:sz w:val="74"/>
          <w:szCs w:val="74"/>
          <w:shd w:val="clear" w:color="auto" w:fill="FFFFFF"/>
        </w:rPr>
        <w:t> - это не только стимул для </w:t>
      </w:r>
      <w:r>
        <w:rPr>
          <w:rStyle w:val="a3"/>
          <w:rFonts w:ascii="Arial" w:hAnsi="Arial" w:cs="Arial"/>
          <w:color w:val="111111"/>
          <w:sz w:val="74"/>
          <w:szCs w:val="74"/>
          <w:bdr w:val="none" w:sz="0" w:space="0" w:color="auto" w:frame="1"/>
          <w:shd w:val="clear" w:color="auto" w:fill="FFFFFF"/>
        </w:rPr>
        <w:t>развития речи и мелкой моторики</w:t>
      </w:r>
      <w:r>
        <w:rPr>
          <w:rFonts w:ascii="Arial" w:hAnsi="Arial" w:cs="Arial"/>
          <w:color w:val="111111"/>
          <w:sz w:val="74"/>
          <w:szCs w:val="74"/>
          <w:shd w:val="clear" w:color="auto" w:fill="FFFFFF"/>
        </w:rPr>
        <w:t>, но и один из вариантов радостного общения.</w:t>
      </w: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>
      <w:pPr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</w:p>
    <w:p w:rsidR="00BE00B6" w:rsidRDefault="00BE00B6" w:rsidP="00BE00B6">
      <w:pPr>
        <w:ind w:left="-1134"/>
        <w:rPr>
          <w:rFonts w:ascii="Arial" w:hAnsi="Arial" w:cs="Arial"/>
          <w:color w:val="111111"/>
          <w:sz w:val="74"/>
          <w:szCs w:val="74"/>
          <w:shd w:val="clear" w:color="auto" w:fill="FFFFFF"/>
        </w:rPr>
      </w:pPr>
      <w:r>
        <w:rPr>
          <w:rFonts w:ascii="Arial" w:hAnsi="Arial" w:cs="Arial"/>
          <w:noProof/>
          <w:color w:val="111111"/>
          <w:sz w:val="74"/>
          <w:szCs w:val="74"/>
          <w:shd w:val="clear" w:color="auto" w:fill="FFFFFF"/>
          <w:lang w:eastAsia="ru-RU"/>
        </w:rPr>
        <w:lastRenderedPageBreak/>
        <w:drawing>
          <wp:inline distT="0" distB="0" distL="0" distR="0">
            <wp:extent cx="7081817" cy="8943975"/>
            <wp:effectExtent l="19050" t="0" r="4783" b="0"/>
            <wp:docPr id="1" name="Рисунок 1" descr="C:\Users\Sega\Desktop\hello_html_6f570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a\Desktop\hello_html_6f570b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917" cy="895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B6" w:rsidRDefault="00BE00B6" w:rsidP="00BE00B6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7000875" cy="8867775"/>
            <wp:effectExtent l="19050" t="0" r="9525" b="0"/>
            <wp:docPr id="2" name="Рисунок 2" descr="C:\Users\Sega\Desktop\661243e14455832bfb34759dce2b6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ga\Desktop\661243e14455832bfb34759dce2b6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040" cy="887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B6" w:rsidRDefault="00BE00B6" w:rsidP="00BE00B6">
      <w:pPr>
        <w:ind w:left="-1134"/>
      </w:pPr>
    </w:p>
    <w:p w:rsidR="00BE00B6" w:rsidRDefault="00BE00B6" w:rsidP="00BE00B6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93423"/>
            <wp:effectExtent l="19050" t="0" r="3175" b="0"/>
            <wp:docPr id="3" name="Рисунок 3" descr="C:\Users\Sega\Desktop\0a81d2_a0e190d37996d51fbe6035cc16b00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ga\Desktop\0a81d2_a0e190d37996d51fbe6035cc16b00d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0B6" w:rsidSect="00E4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0B6"/>
    <w:rsid w:val="00BE00B6"/>
    <w:rsid w:val="00DB29FB"/>
    <w:rsid w:val="00E47D2F"/>
    <w:rsid w:val="00FA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00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2020-04-20T03:06:00Z</dcterms:created>
  <dcterms:modified xsi:type="dcterms:W3CDTF">2020-04-20T03:09:00Z</dcterms:modified>
</cp:coreProperties>
</file>